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3" w:rsidRPr="00646ED0" w:rsidRDefault="00282933" w:rsidP="00AC78CB">
      <w:pPr>
        <w:spacing w:after="0" w:line="240" w:lineRule="auto"/>
        <w:rPr>
          <w:rStyle w:val="Strong"/>
          <w:rFonts w:ascii="Arial" w:hAnsi="Arial" w:cs="Arial"/>
          <w:sz w:val="17"/>
          <w:szCs w:val="17"/>
        </w:rPr>
      </w:pPr>
      <w:r w:rsidRPr="00646ED0">
        <w:rPr>
          <w:rFonts w:ascii="Arial" w:hAnsi="Arial" w:cs="Arial"/>
          <w:b/>
          <w:bCs/>
          <w:noProof/>
          <w:sz w:val="17"/>
          <w:szCs w:val="17"/>
        </w:rPr>
        <w:drawing>
          <wp:anchor distT="0" distB="0" distL="114300" distR="114300" simplePos="0" relativeHeight="251659264" behindDoc="1" locked="0" layoutInCell="1" allowOverlap="0" wp14:anchorId="78E79346" wp14:editId="6709E47B">
            <wp:simplePos x="0" y="0"/>
            <wp:positionH relativeFrom="page">
              <wp:posOffset>-9525</wp:posOffset>
            </wp:positionH>
            <wp:positionV relativeFrom="page">
              <wp:posOffset>-9525</wp:posOffset>
            </wp:positionV>
            <wp:extent cx="77724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8CB">
        <w:rPr>
          <w:rStyle w:val="Strong"/>
          <w:rFonts w:ascii="Arial" w:hAnsi="Arial" w:cs="Arial"/>
          <w:sz w:val="17"/>
          <w:szCs w:val="17"/>
        </w:rPr>
        <w:t>U.S. Department of Agriculture</w:t>
      </w:r>
    </w:p>
    <w:p w:rsidR="00282933" w:rsidRPr="00282933" w:rsidRDefault="00282933" w:rsidP="00AC78CB">
      <w:pPr>
        <w:spacing w:after="0" w:line="240" w:lineRule="auto"/>
        <w:rPr>
          <w:rStyle w:val="Strong"/>
          <w:rFonts w:ascii="Arial" w:hAnsi="Arial" w:cs="Arial"/>
          <w:b w:val="0"/>
          <w:sz w:val="16"/>
          <w:szCs w:val="16"/>
        </w:rPr>
      </w:pPr>
      <w:r w:rsidRPr="00282933">
        <w:rPr>
          <w:rStyle w:val="Strong"/>
          <w:rFonts w:ascii="Arial" w:hAnsi="Arial" w:cs="Arial"/>
          <w:b w:val="0"/>
          <w:sz w:val="16"/>
          <w:szCs w:val="16"/>
        </w:rPr>
        <w:t>1400 Independence Ave, SW</w:t>
      </w:r>
    </w:p>
    <w:p w:rsidR="00282933" w:rsidRPr="00282933" w:rsidRDefault="00282933" w:rsidP="00AC78CB">
      <w:pPr>
        <w:spacing w:after="0" w:line="240" w:lineRule="auto"/>
        <w:rPr>
          <w:rStyle w:val="Strong"/>
          <w:rFonts w:ascii="Arial" w:hAnsi="Arial" w:cs="Arial"/>
          <w:b w:val="0"/>
          <w:sz w:val="16"/>
          <w:szCs w:val="16"/>
        </w:rPr>
      </w:pPr>
      <w:r w:rsidRPr="00282933">
        <w:rPr>
          <w:rStyle w:val="Strong"/>
          <w:rFonts w:ascii="Arial" w:hAnsi="Arial" w:cs="Arial"/>
          <w:b w:val="0"/>
          <w:sz w:val="16"/>
          <w:szCs w:val="16"/>
        </w:rPr>
        <w:t>Washington, DC 20250</w:t>
      </w:r>
    </w:p>
    <w:p w:rsidR="00282933" w:rsidRPr="004C38CE" w:rsidRDefault="005D4125" w:rsidP="00AC78CB">
      <w:pPr>
        <w:spacing w:after="0" w:line="240" w:lineRule="auto"/>
        <w:rPr>
          <w:rStyle w:val="Strong"/>
          <w:rFonts w:ascii="Arial" w:hAnsi="Arial" w:cs="Arial"/>
          <w:b w:val="0"/>
          <w:sz w:val="16"/>
          <w:szCs w:val="16"/>
        </w:rPr>
      </w:pPr>
      <w:hyperlink r:id="rId10" w:history="1">
        <w:r w:rsidR="00AC78CB" w:rsidRPr="00FC6196">
          <w:rPr>
            <w:rStyle w:val="Hyperlink"/>
            <w:rFonts w:ascii="Arial" w:hAnsi="Arial" w:cs="Arial"/>
            <w:sz w:val="16"/>
            <w:szCs w:val="16"/>
          </w:rPr>
          <w:t>www.usda.gov</w:t>
        </w:r>
      </w:hyperlink>
    </w:p>
    <w:p w:rsidR="00282933" w:rsidRPr="00875275" w:rsidRDefault="00282933" w:rsidP="00AC78CB">
      <w:pPr>
        <w:spacing w:after="0" w:line="240" w:lineRule="auto"/>
        <w:rPr>
          <w:rStyle w:val="Strong"/>
          <w:rFonts w:ascii="Arial" w:hAnsi="Arial" w:cs="Arial"/>
          <w:sz w:val="18"/>
          <w:szCs w:val="18"/>
        </w:rPr>
      </w:pPr>
    </w:p>
    <w:p w:rsidR="006B2C61" w:rsidRPr="00AE187E" w:rsidRDefault="006B2C61" w:rsidP="00AC78CB">
      <w:pPr>
        <w:spacing w:after="0" w:line="240" w:lineRule="auto"/>
        <w:rPr>
          <w:rFonts w:ascii="Arial" w:hAnsi="Arial" w:cs="Arial"/>
          <w:sz w:val="20"/>
          <w:szCs w:val="20"/>
        </w:rPr>
      </w:pPr>
    </w:p>
    <w:p w:rsidR="00BE6945" w:rsidRPr="00AE187E" w:rsidRDefault="00BE6945" w:rsidP="00AC78CB">
      <w:pPr>
        <w:spacing w:after="0" w:line="240" w:lineRule="auto"/>
        <w:rPr>
          <w:rFonts w:ascii="Arial" w:hAnsi="Arial" w:cs="Arial"/>
          <w:sz w:val="20"/>
          <w:szCs w:val="20"/>
        </w:rPr>
      </w:pP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Pr>
          <w:rFonts w:ascii="Arial" w:hAnsi="Arial" w:cs="Arial"/>
          <w:sz w:val="20"/>
          <w:szCs w:val="20"/>
        </w:rPr>
        <w:t xml:space="preserve">            </w:t>
      </w:r>
      <w:r w:rsidRPr="00AE187E">
        <w:rPr>
          <w:rFonts w:ascii="Arial" w:hAnsi="Arial" w:cs="Arial"/>
          <w:sz w:val="20"/>
          <w:szCs w:val="20"/>
        </w:rPr>
        <w:t>Contact:</w:t>
      </w:r>
    </w:p>
    <w:p w:rsidR="00BE6945" w:rsidRPr="00AE187E" w:rsidRDefault="00BE6945" w:rsidP="00AC78CB">
      <w:pPr>
        <w:spacing w:after="0" w:line="240" w:lineRule="auto"/>
        <w:jc w:val="right"/>
        <w:rPr>
          <w:rFonts w:ascii="Arial" w:hAnsi="Arial" w:cs="Arial"/>
          <w:sz w:val="20"/>
          <w:szCs w:val="20"/>
        </w:rPr>
      </w:pP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sidRPr="00AE187E">
        <w:rPr>
          <w:rFonts w:ascii="Arial" w:hAnsi="Arial" w:cs="Arial"/>
          <w:sz w:val="20"/>
          <w:szCs w:val="20"/>
        </w:rPr>
        <w:tab/>
      </w:r>
      <w:r>
        <w:rPr>
          <w:rFonts w:ascii="Arial" w:hAnsi="Arial" w:cs="Arial"/>
          <w:sz w:val="20"/>
          <w:szCs w:val="20"/>
        </w:rPr>
        <w:t xml:space="preserve">Kent </w:t>
      </w:r>
      <w:proofErr w:type="spellStart"/>
      <w:r>
        <w:rPr>
          <w:rFonts w:ascii="Arial" w:hAnsi="Arial" w:cs="Arial"/>
          <w:sz w:val="20"/>
          <w:szCs w:val="20"/>
        </w:rPr>
        <w:t>Politsch</w:t>
      </w:r>
      <w:proofErr w:type="spellEnd"/>
      <w:r>
        <w:rPr>
          <w:rFonts w:ascii="Arial" w:hAnsi="Arial" w:cs="Arial"/>
          <w:sz w:val="20"/>
          <w:szCs w:val="20"/>
        </w:rPr>
        <w:t xml:space="preserve"> (</w:t>
      </w:r>
      <w:proofErr w:type="gramStart"/>
      <w:r>
        <w:rPr>
          <w:rFonts w:ascii="Arial" w:hAnsi="Arial" w:cs="Arial"/>
          <w:sz w:val="20"/>
          <w:szCs w:val="20"/>
        </w:rPr>
        <w:t>202)720</w:t>
      </w:r>
      <w:proofErr w:type="gramEnd"/>
      <w:r>
        <w:rPr>
          <w:rFonts w:ascii="Arial" w:hAnsi="Arial" w:cs="Arial"/>
          <w:sz w:val="20"/>
          <w:szCs w:val="20"/>
        </w:rPr>
        <w:t>-7163</w:t>
      </w:r>
    </w:p>
    <w:p w:rsidR="00AC78CB" w:rsidRDefault="00AC78CB" w:rsidP="00AC78CB">
      <w:pPr>
        <w:pStyle w:val="NormalWeb"/>
        <w:spacing w:after="0"/>
        <w:jc w:val="center"/>
        <w:rPr>
          <w:rFonts w:ascii="Arial" w:hAnsi="Arial" w:cs="Arial"/>
          <w:b/>
          <w:color w:val="222222"/>
          <w:lang w:val="en"/>
        </w:rPr>
      </w:pPr>
    </w:p>
    <w:p w:rsidR="00AC78CB" w:rsidRDefault="00AC78CB" w:rsidP="00AC78CB">
      <w:pPr>
        <w:pStyle w:val="NormalWeb"/>
        <w:spacing w:after="0"/>
        <w:jc w:val="center"/>
        <w:rPr>
          <w:rFonts w:ascii="Arial" w:hAnsi="Arial" w:cs="Arial"/>
          <w:b/>
          <w:color w:val="222222"/>
          <w:lang w:val="en"/>
        </w:rPr>
      </w:pPr>
    </w:p>
    <w:p w:rsidR="00C225E6" w:rsidRDefault="00C225E6" w:rsidP="00C225E6">
      <w:pPr>
        <w:pStyle w:val="NormalWeb"/>
        <w:spacing w:after="0"/>
        <w:jc w:val="center"/>
        <w:rPr>
          <w:rFonts w:ascii="Arial" w:hAnsi="Arial" w:cs="Arial"/>
          <w:b/>
          <w:color w:val="222222"/>
          <w:lang w:val="en"/>
        </w:rPr>
      </w:pPr>
      <w:bookmarkStart w:id="0" w:name="_GoBack"/>
      <w:r>
        <w:rPr>
          <w:rFonts w:ascii="Arial" w:hAnsi="Arial" w:cs="Arial"/>
          <w:b/>
          <w:color w:val="222222"/>
          <w:lang w:val="en"/>
        </w:rPr>
        <w:t>USDA Announces Safety Net Assistance for Milk Producers Due to Tightening Dairy Margins</w:t>
      </w:r>
    </w:p>
    <w:p w:rsidR="00C225E6" w:rsidRDefault="00C225E6" w:rsidP="00C225E6">
      <w:pPr>
        <w:pStyle w:val="NormalWeb"/>
        <w:spacing w:after="0"/>
        <w:jc w:val="center"/>
        <w:rPr>
          <w:rFonts w:ascii="Arial" w:hAnsi="Arial" w:cs="Arial"/>
          <w:i/>
          <w:color w:val="222222"/>
          <w:lang w:val="en"/>
        </w:rPr>
      </w:pPr>
      <w:r>
        <w:rPr>
          <w:rFonts w:ascii="Arial" w:hAnsi="Arial" w:cs="Arial"/>
          <w:i/>
          <w:color w:val="222222"/>
          <w:lang w:val="en"/>
        </w:rPr>
        <w:t>May/June 2016 Average Margins Below $6</w:t>
      </w:r>
    </w:p>
    <w:p w:rsidR="00C225E6" w:rsidRDefault="00C225E6" w:rsidP="00C225E6">
      <w:pPr>
        <w:pStyle w:val="NormalWeb"/>
        <w:spacing w:after="0"/>
        <w:rPr>
          <w:rFonts w:ascii="Times New Roman" w:hAnsi="Times New Roman"/>
          <w:color w:val="222222"/>
          <w:lang w:val="en"/>
        </w:rPr>
      </w:pPr>
    </w:p>
    <w:p w:rsidR="00C225E6" w:rsidRDefault="00C225E6" w:rsidP="00C225E6">
      <w:pPr>
        <w:pStyle w:val="NormalWeb"/>
        <w:spacing w:after="0"/>
        <w:rPr>
          <w:rFonts w:ascii="Times New Roman" w:hAnsi="Times New Roman"/>
          <w:color w:val="222222"/>
          <w:lang w:val="en"/>
        </w:rPr>
      </w:pPr>
      <w:r>
        <w:rPr>
          <w:rFonts w:ascii="Times New Roman" w:hAnsi="Times New Roman"/>
          <w:color w:val="222222"/>
          <w:lang w:val="en"/>
        </w:rPr>
        <w:t xml:space="preserve">WASHINGTON, Aug. 4, 2016 – Agriculture Secretary Tom Vilsack today announced approximately $11.2 million in financial assistance to American dairy producers enrolled in the 2016 Margin Protection Program for Dairy (MPP-Dairy). </w:t>
      </w:r>
      <w:r>
        <w:rPr>
          <w:rFonts w:ascii="Times New Roman" w:hAnsi="Times New Roman"/>
        </w:rPr>
        <w:t xml:space="preserve">The payment rate for May/June 2016 will be the largest since the program began in 2014. </w:t>
      </w:r>
      <w:r>
        <w:rPr>
          <w:rFonts w:ascii="Times New Roman" w:hAnsi="Times New Roman"/>
          <w:color w:val="222222"/>
          <w:lang w:val="en"/>
        </w:rPr>
        <w:t xml:space="preserve">The narrowing margin between milk prices and the cost of feed triggered the payments, as provided for by the 2014 Farm Bill. </w:t>
      </w:r>
    </w:p>
    <w:bookmarkEnd w:id="0"/>
    <w:p w:rsidR="00C225E6" w:rsidRDefault="00C225E6" w:rsidP="00C225E6">
      <w:pPr>
        <w:pStyle w:val="NormalWeb"/>
        <w:spacing w:after="0"/>
        <w:rPr>
          <w:rFonts w:ascii="Times New Roman" w:hAnsi="Times New Roman"/>
          <w:color w:val="222222"/>
          <w:lang w:val="en"/>
        </w:rPr>
      </w:pPr>
    </w:p>
    <w:p w:rsidR="00C225E6" w:rsidRDefault="00C225E6" w:rsidP="00C225E6">
      <w:pPr>
        <w:pStyle w:val="NormalWeb"/>
        <w:spacing w:after="0"/>
        <w:rPr>
          <w:rFonts w:ascii="Times New Roman" w:hAnsi="Times New Roman"/>
          <w:color w:val="222222"/>
          <w:lang w:val="en"/>
        </w:rPr>
      </w:pPr>
      <w:r>
        <w:rPr>
          <w:rFonts w:ascii="Times New Roman" w:hAnsi="Times New Roman"/>
          <w:color w:val="222222"/>
          <w:lang w:val="en"/>
        </w:rPr>
        <w:t>“We understand the nation’s dairy producers are experiencing challenges due to market conditions,” said Vilsack. “MPP-Dairy payments are part of a robust, comprehensive farm safety net that help to provide dairy producing families with greater peace of mind during tough times. Dairy operations enrolled in the 2016 MPP-Dairy program will receive approximately $11.2 million this month. I want to urge dairy producers to use this opportunity to evaluate their enrollment options for 2017, as the enrollment period is curr</w:t>
      </w:r>
      <w:r w:rsidR="00CA4D74">
        <w:rPr>
          <w:rFonts w:ascii="Times New Roman" w:hAnsi="Times New Roman"/>
          <w:color w:val="222222"/>
          <w:lang w:val="en"/>
        </w:rPr>
        <w:t>ently scheduled to end Sept.</w:t>
      </w:r>
      <w:r>
        <w:rPr>
          <w:rFonts w:ascii="Times New Roman" w:hAnsi="Times New Roman"/>
          <w:color w:val="222222"/>
          <w:lang w:val="en"/>
        </w:rPr>
        <w:t xml:space="preserve"> 30, 2016. By supporting a strong farm safety net, expanding credit options and growing domestic and foreign markets, USDA is committed to helping America’s dairy operations remain successful.” </w:t>
      </w:r>
    </w:p>
    <w:p w:rsidR="00C225E6" w:rsidRDefault="00C225E6" w:rsidP="00C225E6">
      <w:pPr>
        <w:pStyle w:val="NormalWeb"/>
        <w:spacing w:after="0"/>
        <w:rPr>
          <w:rFonts w:ascii="Times New Roman" w:hAnsi="Times New Roman"/>
          <w:color w:val="222222"/>
          <w:lang w:val="en"/>
        </w:rPr>
      </w:pPr>
    </w:p>
    <w:p w:rsidR="00C225E6" w:rsidRDefault="00C225E6" w:rsidP="00C225E6">
      <w:pPr>
        <w:pStyle w:val="NormalWeb"/>
        <w:spacing w:after="0"/>
        <w:rPr>
          <w:rFonts w:ascii="Times New Roman" w:hAnsi="Times New Roman"/>
          <w:color w:val="222222"/>
          <w:lang w:val="en"/>
        </w:rPr>
      </w:pPr>
      <w:r>
        <w:rPr>
          <w:rFonts w:ascii="Times New Roman" w:hAnsi="Times New Roman"/>
          <w:color w:val="222222"/>
          <w:lang w:val="en"/>
        </w:rPr>
        <w:t>Dairy producers who enrolled at the $6 through $8 margin trigger coverage level will receive payments. MPP-Dairy payments are triggered when the national average margin (the difference between the price of milk and the cost of feed) falls below a level of coverage selected by the dairy producer, ranging from $4 to $8, for a specified consecutive two-month period.  All final USDA prices for milk and feed components required to determine the national average margin for May/June 2016 were released on July 29, 2016.</w:t>
      </w:r>
    </w:p>
    <w:p w:rsidR="00C225E6" w:rsidRDefault="00C225E6" w:rsidP="00C225E6">
      <w:pPr>
        <w:pStyle w:val="NormalWeb"/>
        <w:spacing w:after="0"/>
        <w:rPr>
          <w:rFonts w:ascii="Times New Roman" w:hAnsi="Times New Roman"/>
          <w:color w:val="222222"/>
          <w:lang w:val="en"/>
        </w:rPr>
      </w:pPr>
    </w:p>
    <w:p w:rsidR="00C225E6" w:rsidRDefault="00C225E6" w:rsidP="00C225E6">
      <w:pPr>
        <w:pStyle w:val="NormalWeb"/>
        <w:spacing w:after="0"/>
        <w:rPr>
          <w:rFonts w:ascii="Times New Roman" w:hAnsi="Times New Roman"/>
          <w:color w:val="222222"/>
          <w:lang w:val="en"/>
        </w:rPr>
      </w:pPr>
      <w:r>
        <w:rPr>
          <w:rFonts w:ascii="Times New Roman" w:hAnsi="Times New Roman"/>
          <w:color w:val="222222"/>
          <w:lang w:val="en"/>
        </w:rPr>
        <w:t xml:space="preserve">The national average margin for the May/June 2016 two-month consecutive period is $5.76277 per hundred weight (cwt.), resulting in the following MPP payment rates: </w:t>
      </w:r>
    </w:p>
    <w:p w:rsidR="00C225E6" w:rsidRDefault="00C225E6" w:rsidP="00C225E6">
      <w:pPr>
        <w:pStyle w:val="NormalWeb"/>
        <w:spacing w:after="0"/>
        <w:rPr>
          <w:rFonts w:ascii="Times New Roman" w:hAnsi="Times New Roman"/>
          <w:color w:val="222222"/>
          <w:lang w:val="en"/>
        </w:rPr>
      </w:pPr>
    </w:p>
    <w:tbl>
      <w:tblPr>
        <w:tblStyle w:val="TableGrid"/>
        <w:tblW w:w="5580" w:type="dxa"/>
        <w:tblInd w:w="1885" w:type="dxa"/>
        <w:tblLook w:val="04A0" w:firstRow="1" w:lastRow="0" w:firstColumn="1" w:lastColumn="0" w:noHBand="0" w:noVBand="1"/>
      </w:tblPr>
      <w:tblGrid>
        <w:gridCol w:w="2723"/>
        <w:gridCol w:w="2857"/>
      </w:tblGrid>
      <w:tr w:rsidR="00C225E6" w:rsidTr="00C225E6">
        <w:trPr>
          <w:trHeight w:val="20"/>
        </w:trPr>
        <w:tc>
          <w:tcPr>
            <w:tcW w:w="2723" w:type="dxa"/>
            <w:tcBorders>
              <w:top w:val="single" w:sz="4" w:space="0" w:color="auto"/>
              <w:left w:val="single" w:sz="4" w:space="0" w:color="auto"/>
              <w:bottom w:val="single" w:sz="4" w:space="0" w:color="auto"/>
              <w:right w:val="single" w:sz="4" w:space="0" w:color="auto"/>
            </w:tcBorders>
            <w:hideMark/>
          </w:tcPr>
          <w:p w:rsidR="00C225E6" w:rsidRDefault="00C225E6">
            <w:pPr>
              <w:pStyle w:val="NormalWeb"/>
              <w:spacing w:after="0"/>
              <w:jc w:val="center"/>
              <w:rPr>
                <w:rFonts w:ascii="Times New Roman" w:hAnsi="Times New Roman"/>
                <w:color w:val="222222"/>
                <w:lang w:val="en"/>
              </w:rPr>
            </w:pPr>
            <w:r>
              <w:rPr>
                <w:rFonts w:ascii="Times New Roman" w:hAnsi="Times New Roman"/>
                <w:color w:val="222222"/>
                <w:lang w:val="en"/>
              </w:rPr>
              <w:t>Margin Trigger Coverage Levels</w:t>
            </w:r>
          </w:p>
        </w:tc>
        <w:tc>
          <w:tcPr>
            <w:tcW w:w="2857" w:type="dxa"/>
            <w:tcBorders>
              <w:top w:val="single" w:sz="4" w:space="0" w:color="auto"/>
              <w:left w:val="single" w:sz="4" w:space="0" w:color="auto"/>
              <w:bottom w:val="single" w:sz="4" w:space="0" w:color="auto"/>
              <w:right w:val="single" w:sz="4" w:space="0" w:color="auto"/>
            </w:tcBorders>
            <w:hideMark/>
          </w:tcPr>
          <w:p w:rsidR="00C225E6" w:rsidRDefault="00C225E6">
            <w:pPr>
              <w:pStyle w:val="NormalWeb"/>
              <w:spacing w:after="0"/>
              <w:jc w:val="center"/>
              <w:rPr>
                <w:rFonts w:ascii="Times New Roman" w:hAnsi="Times New Roman"/>
                <w:color w:val="222222"/>
                <w:lang w:val="en"/>
              </w:rPr>
            </w:pPr>
            <w:r>
              <w:rPr>
                <w:rFonts w:ascii="Times New Roman" w:hAnsi="Times New Roman"/>
                <w:color w:val="222222"/>
                <w:lang w:val="en"/>
              </w:rPr>
              <w:t>Payment Rate/cwt.</w:t>
            </w:r>
          </w:p>
        </w:tc>
      </w:tr>
      <w:tr w:rsidR="00C225E6" w:rsidTr="00C225E6">
        <w:trPr>
          <w:trHeight w:val="20"/>
        </w:trPr>
        <w:tc>
          <w:tcPr>
            <w:tcW w:w="2723" w:type="dxa"/>
            <w:tcBorders>
              <w:top w:val="single" w:sz="4" w:space="0" w:color="auto"/>
              <w:left w:val="single" w:sz="4" w:space="0" w:color="auto"/>
              <w:bottom w:val="single" w:sz="4" w:space="0" w:color="auto"/>
              <w:right w:val="single" w:sz="4" w:space="0" w:color="auto"/>
            </w:tcBorders>
            <w:hideMark/>
          </w:tcPr>
          <w:p w:rsidR="00C225E6" w:rsidRDefault="00C225E6">
            <w:pPr>
              <w:pStyle w:val="NormalWeb"/>
              <w:spacing w:after="0"/>
              <w:rPr>
                <w:rFonts w:ascii="Times New Roman" w:hAnsi="Times New Roman"/>
                <w:color w:val="222222"/>
                <w:lang w:val="en"/>
              </w:rPr>
            </w:pPr>
            <w:r>
              <w:rPr>
                <w:rFonts w:ascii="Times New Roman" w:hAnsi="Times New Roman"/>
                <w:color w:val="222222"/>
                <w:lang w:val="en"/>
              </w:rPr>
              <w:t>$6.00</w:t>
            </w:r>
          </w:p>
        </w:tc>
        <w:tc>
          <w:tcPr>
            <w:tcW w:w="2857" w:type="dxa"/>
            <w:tcBorders>
              <w:top w:val="single" w:sz="4" w:space="0" w:color="auto"/>
              <w:left w:val="single" w:sz="4" w:space="0" w:color="auto"/>
              <w:bottom w:val="single" w:sz="4" w:space="0" w:color="auto"/>
              <w:right w:val="single" w:sz="4" w:space="0" w:color="auto"/>
            </w:tcBorders>
            <w:hideMark/>
          </w:tcPr>
          <w:p w:rsidR="00C225E6" w:rsidRDefault="00C225E6">
            <w:pPr>
              <w:jc w:val="center"/>
              <w:rPr>
                <w:rFonts w:ascii="Times New Roman" w:hAnsi="Times New Roman" w:cs="Times New Roman"/>
                <w:sz w:val="24"/>
                <w:szCs w:val="24"/>
              </w:rPr>
            </w:pPr>
            <w:r>
              <w:rPr>
                <w:rFonts w:ascii="Times New Roman" w:hAnsi="Times New Roman" w:cs="Times New Roman"/>
                <w:color w:val="222222"/>
                <w:sz w:val="24"/>
                <w:szCs w:val="24"/>
                <w:lang w:val="en"/>
              </w:rPr>
              <w:t>$0.23723</w:t>
            </w:r>
          </w:p>
        </w:tc>
      </w:tr>
      <w:tr w:rsidR="00C225E6" w:rsidTr="00C225E6">
        <w:trPr>
          <w:trHeight w:val="20"/>
        </w:trPr>
        <w:tc>
          <w:tcPr>
            <w:tcW w:w="2723" w:type="dxa"/>
            <w:tcBorders>
              <w:top w:val="single" w:sz="4" w:space="0" w:color="auto"/>
              <w:left w:val="single" w:sz="4" w:space="0" w:color="auto"/>
              <w:bottom w:val="single" w:sz="4" w:space="0" w:color="auto"/>
              <w:right w:val="single" w:sz="4" w:space="0" w:color="auto"/>
            </w:tcBorders>
            <w:hideMark/>
          </w:tcPr>
          <w:p w:rsidR="00C225E6" w:rsidRDefault="00C225E6">
            <w:pPr>
              <w:pStyle w:val="NormalWeb"/>
              <w:spacing w:after="0"/>
              <w:rPr>
                <w:rFonts w:ascii="Times New Roman" w:hAnsi="Times New Roman"/>
                <w:color w:val="222222"/>
                <w:lang w:val="en"/>
              </w:rPr>
            </w:pPr>
            <w:r>
              <w:rPr>
                <w:rFonts w:ascii="Times New Roman" w:hAnsi="Times New Roman"/>
                <w:color w:val="222222"/>
                <w:lang w:val="en"/>
              </w:rPr>
              <w:t>$6.50</w:t>
            </w:r>
          </w:p>
        </w:tc>
        <w:tc>
          <w:tcPr>
            <w:tcW w:w="2857" w:type="dxa"/>
            <w:tcBorders>
              <w:top w:val="single" w:sz="4" w:space="0" w:color="auto"/>
              <w:left w:val="single" w:sz="4" w:space="0" w:color="auto"/>
              <w:bottom w:val="single" w:sz="4" w:space="0" w:color="auto"/>
              <w:right w:val="single" w:sz="4" w:space="0" w:color="auto"/>
            </w:tcBorders>
            <w:hideMark/>
          </w:tcPr>
          <w:p w:rsidR="00C225E6" w:rsidRDefault="00C225E6">
            <w:pPr>
              <w:jc w:val="center"/>
              <w:rPr>
                <w:rFonts w:ascii="Times New Roman" w:hAnsi="Times New Roman" w:cs="Times New Roman"/>
                <w:sz w:val="24"/>
                <w:szCs w:val="24"/>
              </w:rPr>
            </w:pPr>
            <w:r>
              <w:rPr>
                <w:rFonts w:ascii="Times New Roman" w:hAnsi="Times New Roman" w:cs="Times New Roman"/>
                <w:color w:val="222222"/>
                <w:sz w:val="24"/>
                <w:szCs w:val="24"/>
                <w:lang w:val="en"/>
              </w:rPr>
              <w:t>$0.73723</w:t>
            </w:r>
          </w:p>
        </w:tc>
      </w:tr>
      <w:tr w:rsidR="00C225E6" w:rsidTr="00C225E6">
        <w:trPr>
          <w:trHeight w:val="20"/>
        </w:trPr>
        <w:tc>
          <w:tcPr>
            <w:tcW w:w="2723" w:type="dxa"/>
            <w:tcBorders>
              <w:top w:val="single" w:sz="4" w:space="0" w:color="auto"/>
              <w:left w:val="single" w:sz="4" w:space="0" w:color="auto"/>
              <w:bottom w:val="single" w:sz="4" w:space="0" w:color="auto"/>
              <w:right w:val="single" w:sz="4" w:space="0" w:color="auto"/>
            </w:tcBorders>
            <w:hideMark/>
          </w:tcPr>
          <w:p w:rsidR="00C225E6" w:rsidRDefault="00C225E6">
            <w:pPr>
              <w:pStyle w:val="NormalWeb"/>
              <w:spacing w:after="0"/>
              <w:rPr>
                <w:rFonts w:ascii="Times New Roman" w:hAnsi="Times New Roman"/>
                <w:color w:val="222222"/>
                <w:lang w:val="en"/>
              </w:rPr>
            </w:pPr>
            <w:r>
              <w:rPr>
                <w:rFonts w:ascii="Times New Roman" w:hAnsi="Times New Roman"/>
                <w:color w:val="222222"/>
                <w:lang w:val="en"/>
              </w:rPr>
              <w:t>$7.00</w:t>
            </w:r>
          </w:p>
        </w:tc>
        <w:tc>
          <w:tcPr>
            <w:tcW w:w="2857" w:type="dxa"/>
            <w:tcBorders>
              <w:top w:val="single" w:sz="4" w:space="0" w:color="auto"/>
              <w:left w:val="single" w:sz="4" w:space="0" w:color="auto"/>
              <w:bottom w:val="single" w:sz="4" w:space="0" w:color="auto"/>
              <w:right w:val="single" w:sz="4" w:space="0" w:color="auto"/>
            </w:tcBorders>
            <w:hideMark/>
          </w:tcPr>
          <w:p w:rsidR="00C225E6" w:rsidRDefault="00C225E6">
            <w:pPr>
              <w:jc w:val="center"/>
              <w:rPr>
                <w:rFonts w:ascii="Times New Roman" w:hAnsi="Times New Roman" w:cs="Times New Roman"/>
                <w:sz w:val="24"/>
                <w:szCs w:val="24"/>
              </w:rPr>
            </w:pPr>
            <w:r>
              <w:rPr>
                <w:rFonts w:ascii="Times New Roman" w:hAnsi="Times New Roman" w:cs="Times New Roman"/>
                <w:color w:val="222222"/>
                <w:sz w:val="24"/>
                <w:szCs w:val="24"/>
                <w:lang w:val="en"/>
              </w:rPr>
              <w:t>$1.23723</w:t>
            </w:r>
          </w:p>
        </w:tc>
      </w:tr>
      <w:tr w:rsidR="00C225E6" w:rsidTr="00C225E6">
        <w:trPr>
          <w:trHeight w:val="20"/>
        </w:trPr>
        <w:tc>
          <w:tcPr>
            <w:tcW w:w="2723" w:type="dxa"/>
            <w:tcBorders>
              <w:top w:val="single" w:sz="4" w:space="0" w:color="auto"/>
              <w:left w:val="single" w:sz="4" w:space="0" w:color="auto"/>
              <w:bottom w:val="single" w:sz="4" w:space="0" w:color="auto"/>
              <w:right w:val="single" w:sz="4" w:space="0" w:color="auto"/>
            </w:tcBorders>
            <w:hideMark/>
          </w:tcPr>
          <w:p w:rsidR="00C225E6" w:rsidRDefault="00C225E6">
            <w:pPr>
              <w:pStyle w:val="NormalWeb"/>
              <w:spacing w:after="0"/>
              <w:rPr>
                <w:rFonts w:ascii="Times New Roman" w:hAnsi="Times New Roman"/>
                <w:color w:val="222222"/>
                <w:lang w:val="en"/>
              </w:rPr>
            </w:pPr>
            <w:r>
              <w:rPr>
                <w:rFonts w:ascii="Times New Roman" w:hAnsi="Times New Roman"/>
                <w:color w:val="222222"/>
                <w:lang w:val="en"/>
              </w:rPr>
              <w:t>$7.50</w:t>
            </w:r>
          </w:p>
        </w:tc>
        <w:tc>
          <w:tcPr>
            <w:tcW w:w="2857" w:type="dxa"/>
            <w:tcBorders>
              <w:top w:val="single" w:sz="4" w:space="0" w:color="auto"/>
              <w:left w:val="single" w:sz="4" w:space="0" w:color="auto"/>
              <w:bottom w:val="single" w:sz="4" w:space="0" w:color="auto"/>
              <w:right w:val="single" w:sz="4" w:space="0" w:color="auto"/>
            </w:tcBorders>
            <w:hideMark/>
          </w:tcPr>
          <w:p w:rsidR="00C225E6" w:rsidRDefault="00C225E6">
            <w:pPr>
              <w:jc w:val="center"/>
              <w:rPr>
                <w:rFonts w:ascii="Times New Roman" w:hAnsi="Times New Roman" w:cs="Times New Roman"/>
                <w:sz w:val="24"/>
                <w:szCs w:val="24"/>
              </w:rPr>
            </w:pPr>
            <w:r>
              <w:rPr>
                <w:rFonts w:ascii="Times New Roman" w:hAnsi="Times New Roman" w:cs="Times New Roman"/>
                <w:color w:val="222222"/>
                <w:sz w:val="24"/>
                <w:szCs w:val="24"/>
                <w:lang w:val="en"/>
              </w:rPr>
              <w:t>$1.73723</w:t>
            </w:r>
          </w:p>
        </w:tc>
      </w:tr>
      <w:tr w:rsidR="00C225E6" w:rsidTr="00C225E6">
        <w:trPr>
          <w:trHeight w:val="20"/>
        </w:trPr>
        <w:tc>
          <w:tcPr>
            <w:tcW w:w="2723" w:type="dxa"/>
            <w:tcBorders>
              <w:top w:val="single" w:sz="4" w:space="0" w:color="auto"/>
              <w:left w:val="single" w:sz="4" w:space="0" w:color="auto"/>
              <w:bottom w:val="single" w:sz="4" w:space="0" w:color="auto"/>
              <w:right w:val="single" w:sz="4" w:space="0" w:color="auto"/>
            </w:tcBorders>
            <w:hideMark/>
          </w:tcPr>
          <w:p w:rsidR="00C225E6" w:rsidRDefault="00C225E6">
            <w:pPr>
              <w:pStyle w:val="NormalWeb"/>
              <w:spacing w:after="0"/>
              <w:rPr>
                <w:rFonts w:ascii="Times New Roman" w:hAnsi="Times New Roman"/>
                <w:color w:val="222222"/>
                <w:lang w:val="en"/>
              </w:rPr>
            </w:pPr>
            <w:r>
              <w:rPr>
                <w:rFonts w:ascii="Times New Roman" w:hAnsi="Times New Roman"/>
                <w:color w:val="222222"/>
                <w:lang w:val="en"/>
              </w:rPr>
              <w:t>$8.00</w:t>
            </w:r>
          </w:p>
        </w:tc>
        <w:tc>
          <w:tcPr>
            <w:tcW w:w="2857" w:type="dxa"/>
            <w:tcBorders>
              <w:top w:val="single" w:sz="4" w:space="0" w:color="auto"/>
              <w:left w:val="single" w:sz="4" w:space="0" w:color="auto"/>
              <w:bottom w:val="single" w:sz="4" w:space="0" w:color="auto"/>
              <w:right w:val="single" w:sz="4" w:space="0" w:color="auto"/>
            </w:tcBorders>
            <w:hideMark/>
          </w:tcPr>
          <w:p w:rsidR="00C225E6" w:rsidRDefault="00C225E6">
            <w:pPr>
              <w:jc w:val="cente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$2.23723</w:t>
            </w:r>
          </w:p>
        </w:tc>
      </w:tr>
    </w:tbl>
    <w:p w:rsidR="00C225E6" w:rsidRDefault="00C225E6" w:rsidP="00C225E6">
      <w:pPr>
        <w:pStyle w:val="NormalWeb"/>
        <w:spacing w:after="0"/>
        <w:rPr>
          <w:rFonts w:ascii="Times New Roman" w:hAnsi="Times New Roman"/>
          <w:color w:val="222222"/>
          <w:lang w:val="en"/>
        </w:rPr>
      </w:pPr>
    </w:p>
    <w:p w:rsidR="00C225E6" w:rsidRDefault="00C225E6" w:rsidP="00C225E6">
      <w:pPr>
        <w:pStyle w:val="NormalWeb"/>
        <w:spacing w:after="0"/>
        <w:rPr>
          <w:rFonts w:ascii="Times New Roman" w:hAnsi="Times New Roman"/>
        </w:rPr>
      </w:pPr>
      <w:r>
        <w:rPr>
          <w:rFonts w:ascii="Times New Roman" w:hAnsi="Times New Roman"/>
        </w:rPr>
        <w:t>State specific payment amounts can be found</w:t>
      </w:r>
      <w:r w:rsidR="004850D4">
        <w:rPr>
          <w:rFonts w:ascii="Times New Roman" w:hAnsi="Times New Roman"/>
        </w:rPr>
        <w:t xml:space="preserve"> at </w:t>
      </w:r>
      <w:hyperlink r:id="rId11" w:history="1">
        <w:r w:rsidR="004850D4" w:rsidRPr="00773D90">
          <w:rPr>
            <w:rStyle w:val="Hyperlink"/>
          </w:rPr>
          <w:t>www.fsa.usda.gov/dairy</w:t>
        </w:r>
      </w:hyperlink>
      <w:r w:rsidR="004850D4">
        <w:t>.</w:t>
      </w:r>
    </w:p>
    <w:p w:rsidR="00C225E6" w:rsidRDefault="00C225E6" w:rsidP="00C225E6">
      <w:pPr>
        <w:pStyle w:val="NormalWeb"/>
        <w:spacing w:after="0"/>
        <w:rPr>
          <w:rFonts w:ascii="Times New Roman" w:hAnsi="Times New Roman"/>
        </w:rPr>
      </w:pPr>
    </w:p>
    <w:p w:rsidR="00C225E6" w:rsidRDefault="00C225E6" w:rsidP="00C225E6">
      <w:pPr>
        <w:pStyle w:val="NormalWeb"/>
        <w:spacing w:after="0"/>
        <w:rPr>
          <w:rFonts w:ascii="Times New Roman" w:hAnsi="Times New Roman"/>
          <w:lang w:val="en"/>
        </w:rPr>
      </w:pPr>
      <w:r>
        <w:rPr>
          <w:rFonts w:ascii="Times New Roman" w:hAnsi="Times New Roman"/>
        </w:rPr>
        <w:t xml:space="preserve">Since 2009, USDA has worked to strengthen and support American agriculture, an industry that supports one in 11 American jobs, provides American consumers with more than 80 percent of the food we consume, ensures that Americans spend less of their paychecks at the grocery store than most people in other countries, and supports markets for homegrown renewable energy and materials. USDA has also provided $5.6 billion in disaster relief to farmers and ranchers; expanded risk management tools with products like Whole Farm Revenue Protection; and helped farm businesses grow with $36 billion in farm credit. The Department has engaged its resources to support a strong next generation of farmers and ranchers by improving access to land and capital; building new markets and market opportunities; and extending new conservation opportunities. USDA has developed new markets for rural-made products, including more than 2,500 </w:t>
      </w:r>
      <w:proofErr w:type="spellStart"/>
      <w:r>
        <w:rPr>
          <w:rFonts w:ascii="Times New Roman" w:hAnsi="Times New Roman"/>
        </w:rPr>
        <w:t>biobased</w:t>
      </w:r>
      <w:proofErr w:type="spellEnd"/>
      <w:r>
        <w:rPr>
          <w:rFonts w:ascii="Times New Roman" w:hAnsi="Times New Roman"/>
        </w:rPr>
        <w:t xml:space="preserve"> products through USDA's </w:t>
      </w:r>
      <w:proofErr w:type="spellStart"/>
      <w:r>
        <w:rPr>
          <w:rFonts w:ascii="Times New Roman" w:hAnsi="Times New Roman"/>
        </w:rPr>
        <w:t>BioPreferred</w:t>
      </w:r>
      <w:proofErr w:type="spellEnd"/>
      <w:r>
        <w:rPr>
          <w:rFonts w:ascii="Times New Roman" w:hAnsi="Times New Roman"/>
        </w:rPr>
        <w:t xml:space="preserve"> program; and invested $64 billion in infrastructure and community facilities to help improve the quality of life in rural America. For more information, visit </w:t>
      </w:r>
      <w:hyperlink r:id="rId12" w:history="1">
        <w:r>
          <w:rPr>
            <w:rStyle w:val="Hyperlink"/>
            <w:rFonts w:ascii="Times New Roman" w:hAnsi="Times New Roman"/>
          </w:rPr>
          <w:t>www.usda.gov/results</w:t>
        </w:r>
      </w:hyperlink>
      <w:r>
        <w:rPr>
          <w:rFonts w:ascii="Times New Roman" w:hAnsi="Times New Roman"/>
        </w:rPr>
        <w:t>.</w:t>
      </w:r>
    </w:p>
    <w:p w:rsidR="00C225E6" w:rsidRDefault="00C225E6" w:rsidP="00C225E6">
      <w:pPr>
        <w:pStyle w:val="NormalWeb"/>
        <w:spacing w:after="0"/>
        <w:rPr>
          <w:rFonts w:ascii="Times New Roman" w:hAnsi="Times New Roman"/>
          <w:color w:val="222222"/>
          <w:lang w:val="en"/>
        </w:rPr>
      </w:pPr>
    </w:p>
    <w:p w:rsidR="00C225E6" w:rsidRDefault="004850D4" w:rsidP="004850D4">
      <w:pPr>
        <w:pStyle w:val="NormalWeb"/>
        <w:spacing w:after="0"/>
        <w:rPr>
          <w:rFonts w:ascii="Times New Roman" w:hAnsi="Times New Roman"/>
          <w:color w:val="222222"/>
          <w:lang w:val="en"/>
        </w:rPr>
      </w:pPr>
      <w:r>
        <w:rPr>
          <w:rFonts w:ascii="Times New Roman" w:hAnsi="Times New Roman"/>
          <w:color w:val="222222"/>
          <w:lang w:val="en"/>
        </w:rPr>
        <w:t xml:space="preserve">To learn more about the Margin Protection Program for dairy, </w:t>
      </w:r>
      <w:r w:rsidR="00C225E6">
        <w:rPr>
          <w:rFonts w:ascii="Times New Roman" w:hAnsi="Times New Roman"/>
          <w:color w:val="222222"/>
          <w:lang w:val="en"/>
        </w:rPr>
        <w:t xml:space="preserve">visit </w:t>
      </w:r>
      <w:r>
        <w:rPr>
          <w:rFonts w:ascii="Times New Roman" w:hAnsi="Times New Roman"/>
          <w:color w:val="222222"/>
          <w:lang w:val="en"/>
        </w:rPr>
        <w:t>the Farm Service Agency (</w:t>
      </w:r>
      <w:r w:rsidR="00C225E6">
        <w:rPr>
          <w:rFonts w:ascii="Times New Roman" w:hAnsi="Times New Roman"/>
          <w:color w:val="222222"/>
          <w:lang w:val="en"/>
        </w:rPr>
        <w:t>FSA</w:t>
      </w:r>
      <w:r>
        <w:rPr>
          <w:rFonts w:ascii="Times New Roman" w:hAnsi="Times New Roman"/>
          <w:color w:val="222222"/>
          <w:lang w:val="en"/>
        </w:rPr>
        <w:t>)</w:t>
      </w:r>
      <w:r w:rsidR="00C225E6">
        <w:rPr>
          <w:rFonts w:ascii="Times New Roman" w:hAnsi="Times New Roman"/>
          <w:color w:val="222222"/>
          <w:lang w:val="en"/>
        </w:rPr>
        <w:t xml:space="preserve"> online at </w:t>
      </w:r>
      <w:hyperlink r:id="rId13" w:history="1">
        <w:r w:rsidR="00C225E6">
          <w:rPr>
            <w:rStyle w:val="Hyperlink"/>
            <w:rFonts w:ascii="Times New Roman" w:hAnsi="Times New Roman"/>
            <w:lang w:val="en"/>
          </w:rPr>
          <w:t>www.fsa.usda.gov/dairy</w:t>
        </w:r>
      </w:hyperlink>
      <w:r>
        <w:rPr>
          <w:rFonts w:ascii="Times New Roman" w:hAnsi="Times New Roman"/>
          <w:color w:val="222222"/>
          <w:lang w:val="en"/>
        </w:rPr>
        <w:t xml:space="preserve"> or stop by a local FSA office.  Producers may visit </w:t>
      </w:r>
      <w:hyperlink r:id="rId14" w:history="1">
        <w:r w:rsidRPr="00313FDC">
          <w:rPr>
            <w:rStyle w:val="Hyperlink"/>
            <w:rFonts w:ascii="Times New Roman" w:hAnsi="Times New Roman"/>
          </w:rPr>
          <w:t>www.fsa.usda.gov/mpptool</w:t>
        </w:r>
      </w:hyperlink>
      <w:r>
        <w:rPr>
          <w:rFonts w:ascii="Times New Roman" w:hAnsi="Times New Roman"/>
        </w:rPr>
        <w:t xml:space="preserve"> to calculate the best levels of coverage for their dairy operation. </w:t>
      </w:r>
      <w:r w:rsidR="00C225E6">
        <w:rPr>
          <w:rFonts w:ascii="Times New Roman" w:hAnsi="Times New Roman"/>
          <w:color w:val="222222"/>
          <w:lang w:val="en"/>
        </w:rPr>
        <w:t>To find a</w:t>
      </w:r>
      <w:r>
        <w:rPr>
          <w:rFonts w:ascii="Times New Roman" w:hAnsi="Times New Roman"/>
          <w:color w:val="222222"/>
          <w:lang w:val="en"/>
        </w:rPr>
        <w:t>n</w:t>
      </w:r>
      <w:r w:rsidR="00C225E6">
        <w:rPr>
          <w:rFonts w:ascii="Times New Roman" w:hAnsi="Times New Roman"/>
          <w:color w:val="222222"/>
          <w:lang w:val="en"/>
        </w:rPr>
        <w:t xml:space="preserve"> FSA office </w:t>
      </w:r>
      <w:r>
        <w:rPr>
          <w:rFonts w:ascii="Times New Roman" w:hAnsi="Times New Roman"/>
          <w:color w:val="222222"/>
          <w:lang w:val="en"/>
        </w:rPr>
        <w:t>near you</w:t>
      </w:r>
      <w:r w:rsidR="00C225E6">
        <w:rPr>
          <w:rFonts w:ascii="Times New Roman" w:hAnsi="Times New Roman"/>
          <w:color w:val="222222"/>
          <w:lang w:val="en"/>
        </w:rPr>
        <w:t xml:space="preserve">, visit </w:t>
      </w:r>
      <w:hyperlink r:id="rId15" w:history="1">
        <w:r w:rsidR="00C225E6">
          <w:rPr>
            <w:rStyle w:val="Hyperlink"/>
            <w:rFonts w:ascii="Times New Roman" w:hAnsi="Times New Roman"/>
            <w:lang w:val="en"/>
          </w:rPr>
          <w:t>http://offices.usda.gov</w:t>
        </w:r>
      </w:hyperlink>
      <w:r w:rsidR="00C225E6">
        <w:rPr>
          <w:rFonts w:ascii="Times New Roman" w:hAnsi="Times New Roman"/>
          <w:color w:val="222222"/>
          <w:lang w:val="en"/>
        </w:rPr>
        <w:t>.</w:t>
      </w:r>
      <w:r w:rsidR="00CA4D74">
        <w:rPr>
          <w:rFonts w:ascii="Times New Roman" w:hAnsi="Times New Roman"/>
          <w:color w:val="222222"/>
          <w:lang w:val="en"/>
        </w:rPr>
        <w:t xml:space="preserve"> </w:t>
      </w:r>
    </w:p>
    <w:p w:rsidR="00BE6945" w:rsidRPr="00C225E6" w:rsidRDefault="00C225E6" w:rsidP="00C225E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E6945" w:rsidRDefault="00BE6945" w:rsidP="00AC78CB">
      <w:pPr>
        <w:spacing w:after="0" w:line="240" w:lineRule="auto"/>
        <w:jc w:val="center"/>
        <w:rPr>
          <w:rFonts w:ascii="Times New Roman" w:eastAsia="Cambria" w:hAnsi="Times New Roman" w:cs="Times New Roman"/>
          <w:i/>
          <w:color w:val="000000"/>
          <w:sz w:val="18"/>
          <w:szCs w:val="18"/>
        </w:rPr>
      </w:pPr>
      <w:r w:rsidRPr="00D73F05">
        <w:rPr>
          <w:rFonts w:ascii="Times New Roman" w:eastAsia="Cambria" w:hAnsi="Times New Roman" w:cs="Times New Roman"/>
          <w:i/>
          <w:color w:val="000000"/>
          <w:sz w:val="18"/>
          <w:szCs w:val="18"/>
        </w:rPr>
        <w:t>USDA is a</w:t>
      </w:r>
      <w:r>
        <w:rPr>
          <w:rFonts w:ascii="Times New Roman" w:eastAsia="Cambria" w:hAnsi="Times New Roman" w:cs="Times New Roman"/>
          <w:i/>
          <w:color w:val="000000"/>
          <w:sz w:val="18"/>
          <w:szCs w:val="18"/>
        </w:rPr>
        <w:t>n equal opportunity provider,</w:t>
      </w:r>
      <w:r w:rsidRPr="00D73F05">
        <w:rPr>
          <w:rFonts w:ascii="Times New Roman" w:eastAsia="Cambria" w:hAnsi="Times New Roman" w:cs="Times New Roman"/>
          <w:i/>
          <w:color w:val="000000"/>
          <w:sz w:val="18"/>
          <w:szCs w:val="18"/>
        </w:rPr>
        <w:t xml:space="preserve"> employer</w:t>
      </w:r>
      <w:r>
        <w:rPr>
          <w:rFonts w:ascii="Times New Roman" w:eastAsia="Cambria" w:hAnsi="Times New Roman" w:cs="Times New Roman"/>
          <w:i/>
          <w:color w:val="000000"/>
          <w:sz w:val="18"/>
          <w:szCs w:val="18"/>
        </w:rPr>
        <w:t xml:space="preserve"> and lender</w:t>
      </w:r>
      <w:r w:rsidRPr="00D73F05">
        <w:rPr>
          <w:rFonts w:ascii="Times New Roman" w:eastAsia="Cambria" w:hAnsi="Times New Roman" w:cs="Times New Roman"/>
          <w:i/>
          <w:color w:val="000000"/>
          <w:sz w:val="18"/>
          <w:szCs w:val="18"/>
        </w:rPr>
        <w:t>.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rsidR="004A729E" w:rsidRDefault="004A729E" w:rsidP="00AC78CB">
      <w:pPr>
        <w:spacing w:after="0" w:line="240" w:lineRule="auto"/>
        <w:ind w:left="3600" w:firstLine="720"/>
        <w:rPr>
          <w:rFonts w:ascii="Times New Roman" w:hAnsi="Times New Roman" w:cs="Times New Roman"/>
          <w:b/>
          <w:sz w:val="24"/>
          <w:szCs w:val="24"/>
        </w:rPr>
      </w:pPr>
    </w:p>
    <w:sectPr w:rsidR="004A729E" w:rsidSect="00646ED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5A" w:rsidRDefault="00D26F5A" w:rsidP="00021BB7">
      <w:pPr>
        <w:spacing w:after="0" w:line="240" w:lineRule="auto"/>
      </w:pPr>
      <w:r>
        <w:separator/>
      </w:r>
    </w:p>
  </w:endnote>
  <w:endnote w:type="continuationSeparator" w:id="0">
    <w:p w:rsidR="00D26F5A" w:rsidRDefault="00D26F5A" w:rsidP="0002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5A" w:rsidRDefault="00D26F5A" w:rsidP="00021BB7">
      <w:pPr>
        <w:spacing w:after="0" w:line="240" w:lineRule="auto"/>
      </w:pPr>
      <w:r>
        <w:separator/>
      </w:r>
    </w:p>
  </w:footnote>
  <w:footnote w:type="continuationSeparator" w:id="0">
    <w:p w:rsidR="00D26F5A" w:rsidRDefault="00D26F5A" w:rsidP="00021B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3E5"/>
    <w:multiLevelType w:val="hybridMultilevel"/>
    <w:tmpl w:val="1318E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494648"/>
    <w:multiLevelType w:val="hybridMultilevel"/>
    <w:tmpl w:val="080E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F9674B"/>
    <w:multiLevelType w:val="hybridMultilevel"/>
    <w:tmpl w:val="2094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E3573"/>
    <w:multiLevelType w:val="hybridMultilevel"/>
    <w:tmpl w:val="9C0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05CDB"/>
    <w:multiLevelType w:val="hybridMultilevel"/>
    <w:tmpl w:val="180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274A9"/>
    <w:multiLevelType w:val="hybridMultilevel"/>
    <w:tmpl w:val="68A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B3089"/>
    <w:multiLevelType w:val="hybridMultilevel"/>
    <w:tmpl w:val="7F1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41"/>
    <w:rsid w:val="00021BB7"/>
    <w:rsid w:val="000A70BA"/>
    <w:rsid w:val="000B7103"/>
    <w:rsid w:val="000C6961"/>
    <w:rsid w:val="000E298B"/>
    <w:rsid w:val="00104733"/>
    <w:rsid w:val="001B0E9C"/>
    <w:rsid w:val="001C5E8A"/>
    <w:rsid w:val="001D0FEA"/>
    <w:rsid w:val="001D6FAC"/>
    <w:rsid w:val="00203A52"/>
    <w:rsid w:val="00235D35"/>
    <w:rsid w:val="002403CB"/>
    <w:rsid w:val="00250469"/>
    <w:rsid w:val="002617BB"/>
    <w:rsid w:val="00275619"/>
    <w:rsid w:val="00277520"/>
    <w:rsid w:val="00282933"/>
    <w:rsid w:val="00297CE2"/>
    <w:rsid w:val="002B13A2"/>
    <w:rsid w:val="002C6556"/>
    <w:rsid w:val="0030471B"/>
    <w:rsid w:val="00337B2D"/>
    <w:rsid w:val="00361B5E"/>
    <w:rsid w:val="003A6BCF"/>
    <w:rsid w:val="003B4083"/>
    <w:rsid w:val="003D0FA6"/>
    <w:rsid w:val="003E4BFF"/>
    <w:rsid w:val="00431073"/>
    <w:rsid w:val="0043144E"/>
    <w:rsid w:val="004850D4"/>
    <w:rsid w:val="004853AC"/>
    <w:rsid w:val="004A690D"/>
    <w:rsid w:val="004A729E"/>
    <w:rsid w:val="004B5A08"/>
    <w:rsid w:val="004C03BC"/>
    <w:rsid w:val="00503E2E"/>
    <w:rsid w:val="00571151"/>
    <w:rsid w:val="00572972"/>
    <w:rsid w:val="00595F52"/>
    <w:rsid w:val="005C7D9F"/>
    <w:rsid w:val="005D4125"/>
    <w:rsid w:val="005D58BD"/>
    <w:rsid w:val="005F2E41"/>
    <w:rsid w:val="006141DD"/>
    <w:rsid w:val="006266A9"/>
    <w:rsid w:val="00632547"/>
    <w:rsid w:val="00646ED0"/>
    <w:rsid w:val="006812AF"/>
    <w:rsid w:val="00692003"/>
    <w:rsid w:val="00694795"/>
    <w:rsid w:val="006B2C61"/>
    <w:rsid w:val="006C2683"/>
    <w:rsid w:val="006C6F21"/>
    <w:rsid w:val="006D6AE6"/>
    <w:rsid w:val="006F0BA3"/>
    <w:rsid w:val="00736D56"/>
    <w:rsid w:val="00753533"/>
    <w:rsid w:val="00763BDA"/>
    <w:rsid w:val="00766152"/>
    <w:rsid w:val="007677E2"/>
    <w:rsid w:val="00795FB0"/>
    <w:rsid w:val="007E3916"/>
    <w:rsid w:val="00843BF5"/>
    <w:rsid w:val="008C34C2"/>
    <w:rsid w:val="008C677E"/>
    <w:rsid w:val="008E7250"/>
    <w:rsid w:val="0090565F"/>
    <w:rsid w:val="0093554F"/>
    <w:rsid w:val="00936EF0"/>
    <w:rsid w:val="009564D5"/>
    <w:rsid w:val="00995F4E"/>
    <w:rsid w:val="009A380C"/>
    <w:rsid w:val="009B5C34"/>
    <w:rsid w:val="009D60BC"/>
    <w:rsid w:val="009E22F4"/>
    <w:rsid w:val="009F38AA"/>
    <w:rsid w:val="00A13CB6"/>
    <w:rsid w:val="00A318F3"/>
    <w:rsid w:val="00A36374"/>
    <w:rsid w:val="00A6464E"/>
    <w:rsid w:val="00A67155"/>
    <w:rsid w:val="00A72A17"/>
    <w:rsid w:val="00AA0DC0"/>
    <w:rsid w:val="00AA5DA2"/>
    <w:rsid w:val="00AC47E7"/>
    <w:rsid w:val="00AC78CB"/>
    <w:rsid w:val="00AD4E70"/>
    <w:rsid w:val="00AE187E"/>
    <w:rsid w:val="00AE28CE"/>
    <w:rsid w:val="00B355AC"/>
    <w:rsid w:val="00B82F7E"/>
    <w:rsid w:val="00BA4F6D"/>
    <w:rsid w:val="00BE6945"/>
    <w:rsid w:val="00C026E9"/>
    <w:rsid w:val="00C13510"/>
    <w:rsid w:val="00C225E6"/>
    <w:rsid w:val="00C36974"/>
    <w:rsid w:val="00C62745"/>
    <w:rsid w:val="00C7485B"/>
    <w:rsid w:val="00C82E45"/>
    <w:rsid w:val="00CA4D74"/>
    <w:rsid w:val="00CB55B9"/>
    <w:rsid w:val="00CC6F04"/>
    <w:rsid w:val="00CD705D"/>
    <w:rsid w:val="00CE7C09"/>
    <w:rsid w:val="00CF4A2C"/>
    <w:rsid w:val="00CF6502"/>
    <w:rsid w:val="00D26F5A"/>
    <w:rsid w:val="00D35040"/>
    <w:rsid w:val="00DA71A0"/>
    <w:rsid w:val="00DB3076"/>
    <w:rsid w:val="00DB4D5A"/>
    <w:rsid w:val="00DF7C4F"/>
    <w:rsid w:val="00E70128"/>
    <w:rsid w:val="00E839E7"/>
    <w:rsid w:val="00E96E3C"/>
    <w:rsid w:val="00F2786D"/>
    <w:rsid w:val="00F579A5"/>
    <w:rsid w:val="00FB7FE5"/>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61"/>
    <w:pPr>
      <w:ind w:left="720"/>
      <w:contextualSpacing/>
    </w:pPr>
  </w:style>
  <w:style w:type="paragraph" w:styleId="BalloonText">
    <w:name w:val="Balloon Text"/>
    <w:basedOn w:val="Normal"/>
    <w:link w:val="BalloonTextChar"/>
    <w:uiPriority w:val="99"/>
    <w:semiHidden/>
    <w:unhideWhenUsed/>
    <w:rsid w:val="00CF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2C"/>
    <w:rPr>
      <w:rFonts w:ascii="Tahoma" w:hAnsi="Tahoma" w:cs="Tahoma"/>
      <w:sz w:val="16"/>
      <w:szCs w:val="16"/>
    </w:rPr>
  </w:style>
  <w:style w:type="paragraph" w:styleId="Revision">
    <w:name w:val="Revision"/>
    <w:hidden/>
    <w:uiPriority w:val="99"/>
    <w:semiHidden/>
    <w:rsid w:val="008C34C2"/>
    <w:pPr>
      <w:spacing w:after="0" w:line="240" w:lineRule="auto"/>
    </w:pPr>
  </w:style>
  <w:style w:type="character" w:styleId="Strong">
    <w:name w:val="Strong"/>
    <w:basedOn w:val="DefaultParagraphFont"/>
    <w:uiPriority w:val="22"/>
    <w:qFormat/>
    <w:rsid w:val="00282933"/>
    <w:rPr>
      <w:b/>
      <w:bCs/>
    </w:rPr>
  </w:style>
  <w:style w:type="character" w:styleId="Hyperlink">
    <w:name w:val="Hyperlink"/>
    <w:basedOn w:val="DefaultParagraphFont"/>
    <w:uiPriority w:val="99"/>
    <w:unhideWhenUsed/>
    <w:rsid w:val="00282933"/>
    <w:rPr>
      <w:color w:val="0000FF" w:themeColor="hyperlink"/>
      <w:u w:val="single"/>
    </w:rPr>
  </w:style>
  <w:style w:type="paragraph" w:styleId="NoSpacing">
    <w:name w:val="No Spacing"/>
    <w:uiPriority w:val="1"/>
    <w:qFormat/>
    <w:rsid w:val="00235D3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5D35"/>
    <w:rPr>
      <w:color w:val="800080" w:themeColor="followedHyperlink"/>
      <w:u w:val="single"/>
    </w:rPr>
  </w:style>
  <w:style w:type="paragraph" w:styleId="Header">
    <w:name w:val="header"/>
    <w:basedOn w:val="Normal"/>
    <w:link w:val="HeaderChar"/>
    <w:uiPriority w:val="99"/>
    <w:unhideWhenUsed/>
    <w:rsid w:val="0002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B7"/>
  </w:style>
  <w:style w:type="paragraph" w:styleId="Footer">
    <w:name w:val="footer"/>
    <w:basedOn w:val="Normal"/>
    <w:link w:val="FooterChar"/>
    <w:uiPriority w:val="99"/>
    <w:unhideWhenUsed/>
    <w:rsid w:val="0002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B7"/>
  </w:style>
  <w:style w:type="paragraph" w:styleId="NormalWeb">
    <w:name w:val="Normal (Web)"/>
    <w:basedOn w:val="Normal"/>
    <w:uiPriority w:val="99"/>
    <w:unhideWhenUsed/>
    <w:rsid w:val="00BE6945"/>
    <w:pPr>
      <w:spacing w:after="300" w:line="240" w:lineRule="auto"/>
    </w:pPr>
    <w:rPr>
      <w:rFonts w:ascii="inherit" w:eastAsia="Times New Roman" w:hAnsi="inherit" w:cs="Times New Roman"/>
      <w:sz w:val="24"/>
      <w:szCs w:val="24"/>
    </w:rPr>
  </w:style>
  <w:style w:type="table" w:styleId="TableGrid">
    <w:name w:val="Table Grid"/>
    <w:basedOn w:val="TableNormal"/>
    <w:uiPriority w:val="39"/>
    <w:rsid w:val="00BE6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AC78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61"/>
    <w:pPr>
      <w:ind w:left="720"/>
      <w:contextualSpacing/>
    </w:pPr>
  </w:style>
  <w:style w:type="paragraph" w:styleId="BalloonText">
    <w:name w:val="Balloon Text"/>
    <w:basedOn w:val="Normal"/>
    <w:link w:val="BalloonTextChar"/>
    <w:uiPriority w:val="99"/>
    <w:semiHidden/>
    <w:unhideWhenUsed/>
    <w:rsid w:val="00CF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2C"/>
    <w:rPr>
      <w:rFonts w:ascii="Tahoma" w:hAnsi="Tahoma" w:cs="Tahoma"/>
      <w:sz w:val="16"/>
      <w:szCs w:val="16"/>
    </w:rPr>
  </w:style>
  <w:style w:type="paragraph" w:styleId="Revision">
    <w:name w:val="Revision"/>
    <w:hidden/>
    <w:uiPriority w:val="99"/>
    <w:semiHidden/>
    <w:rsid w:val="008C34C2"/>
    <w:pPr>
      <w:spacing w:after="0" w:line="240" w:lineRule="auto"/>
    </w:pPr>
  </w:style>
  <w:style w:type="character" w:styleId="Strong">
    <w:name w:val="Strong"/>
    <w:basedOn w:val="DefaultParagraphFont"/>
    <w:uiPriority w:val="22"/>
    <w:qFormat/>
    <w:rsid w:val="00282933"/>
    <w:rPr>
      <w:b/>
      <w:bCs/>
    </w:rPr>
  </w:style>
  <w:style w:type="character" w:styleId="Hyperlink">
    <w:name w:val="Hyperlink"/>
    <w:basedOn w:val="DefaultParagraphFont"/>
    <w:uiPriority w:val="99"/>
    <w:unhideWhenUsed/>
    <w:rsid w:val="00282933"/>
    <w:rPr>
      <w:color w:val="0000FF" w:themeColor="hyperlink"/>
      <w:u w:val="single"/>
    </w:rPr>
  </w:style>
  <w:style w:type="paragraph" w:styleId="NoSpacing">
    <w:name w:val="No Spacing"/>
    <w:uiPriority w:val="1"/>
    <w:qFormat/>
    <w:rsid w:val="00235D3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5D35"/>
    <w:rPr>
      <w:color w:val="800080" w:themeColor="followedHyperlink"/>
      <w:u w:val="single"/>
    </w:rPr>
  </w:style>
  <w:style w:type="paragraph" w:styleId="Header">
    <w:name w:val="header"/>
    <w:basedOn w:val="Normal"/>
    <w:link w:val="HeaderChar"/>
    <w:uiPriority w:val="99"/>
    <w:unhideWhenUsed/>
    <w:rsid w:val="0002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B7"/>
  </w:style>
  <w:style w:type="paragraph" w:styleId="Footer">
    <w:name w:val="footer"/>
    <w:basedOn w:val="Normal"/>
    <w:link w:val="FooterChar"/>
    <w:uiPriority w:val="99"/>
    <w:unhideWhenUsed/>
    <w:rsid w:val="0002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B7"/>
  </w:style>
  <w:style w:type="paragraph" w:styleId="NormalWeb">
    <w:name w:val="Normal (Web)"/>
    <w:basedOn w:val="Normal"/>
    <w:uiPriority w:val="99"/>
    <w:unhideWhenUsed/>
    <w:rsid w:val="00BE6945"/>
    <w:pPr>
      <w:spacing w:after="300" w:line="240" w:lineRule="auto"/>
    </w:pPr>
    <w:rPr>
      <w:rFonts w:ascii="inherit" w:eastAsia="Times New Roman" w:hAnsi="inherit" w:cs="Times New Roman"/>
      <w:sz w:val="24"/>
      <w:szCs w:val="24"/>
    </w:rPr>
  </w:style>
  <w:style w:type="table" w:styleId="TableGrid">
    <w:name w:val="Table Grid"/>
    <w:basedOn w:val="TableNormal"/>
    <w:uiPriority w:val="39"/>
    <w:rsid w:val="00BE6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AC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12">
      <w:bodyDiv w:val="1"/>
      <w:marLeft w:val="0"/>
      <w:marRight w:val="0"/>
      <w:marTop w:val="0"/>
      <w:marBottom w:val="0"/>
      <w:divBdr>
        <w:top w:val="none" w:sz="0" w:space="0" w:color="auto"/>
        <w:left w:val="none" w:sz="0" w:space="0" w:color="auto"/>
        <w:bottom w:val="none" w:sz="0" w:space="0" w:color="auto"/>
        <w:right w:val="none" w:sz="0" w:space="0" w:color="auto"/>
      </w:divBdr>
    </w:div>
    <w:div w:id="716858102">
      <w:bodyDiv w:val="1"/>
      <w:marLeft w:val="0"/>
      <w:marRight w:val="0"/>
      <w:marTop w:val="0"/>
      <w:marBottom w:val="0"/>
      <w:divBdr>
        <w:top w:val="none" w:sz="0" w:space="0" w:color="auto"/>
        <w:left w:val="none" w:sz="0" w:space="0" w:color="auto"/>
        <w:bottom w:val="none" w:sz="0" w:space="0" w:color="auto"/>
        <w:right w:val="none" w:sz="0" w:space="0" w:color="auto"/>
      </w:divBdr>
    </w:div>
    <w:div w:id="1068769080">
      <w:bodyDiv w:val="1"/>
      <w:marLeft w:val="0"/>
      <w:marRight w:val="0"/>
      <w:marTop w:val="0"/>
      <w:marBottom w:val="0"/>
      <w:divBdr>
        <w:top w:val="none" w:sz="0" w:space="0" w:color="auto"/>
        <w:left w:val="none" w:sz="0" w:space="0" w:color="auto"/>
        <w:bottom w:val="none" w:sz="0" w:space="0" w:color="auto"/>
        <w:right w:val="none" w:sz="0" w:space="0" w:color="auto"/>
      </w:divBdr>
      <w:divsChild>
        <w:div w:id="1609504467">
          <w:marLeft w:val="0"/>
          <w:marRight w:val="0"/>
          <w:marTop w:val="0"/>
          <w:marBottom w:val="0"/>
          <w:divBdr>
            <w:top w:val="none" w:sz="0" w:space="0" w:color="auto"/>
            <w:left w:val="none" w:sz="0" w:space="0" w:color="auto"/>
            <w:bottom w:val="none" w:sz="0" w:space="0" w:color="auto"/>
            <w:right w:val="none" w:sz="0" w:space="0" w:color="auto"/>
          </w:divBdr>
        </w:div>
        <w:div w:id="1047877328">
          <w:marLeft w:val="0"/>
          <w:marRight w:val="0"/>
          <w:marTop w:val="0"/>
          <w:marBottom w:val="0"/>
          <w:divBdr>
            <w:top w:val="none" w:sz="0" w:space="0" w:color="auto"/>
            <w:left w:val="none" w:sz="0" w:space="0" w:color="auto"/>
            <w:bottom w:val="none" w:sz="0" w:space="0" w:color="auto"/>
            <w:right w:val="none" w:sz="0" w:space="0" w:color="auto"/>
          </w:divBdr>
        </w:div>
        <w:div w:id="129400338">
          <w:marLeft w:val="0"/>
          <w:marRight w:val="0"/>
          <w:marTop w:val="0"/>
          <w:marBottom w:val="0"/>
          <w:divBdr>
            <w:top w:val="none" w:sz="0" w:space="0" w:color="auto"/>
            <w:left w:val="none" w:sz="0" w:space="0" w:color="auto"/>
            <w:bottom w:val="none" w:sz="0" w:space="0" w:color="auto"/>
            <w:right w:val="none" w:sz="0" w:space="0" w:color="auto"/>
          </w:divBdr>
        </w:div>
        <w:div w:id="710375675">
          <w:marLeft w:val="0"/>
          <w:marRight w:val="0"/>
          <w:marTop w:val="0"/>
          <w:marBottom w:val="0"/>
          <w:divBdr>
            <w:top w:val="none" w:sz="0" w:space="0" w:color="auto"/>
            <w:left w:val="none" w:sz="0" w:space="0" w:color="auto"/>
            <w:bottom w:val="none" w:sz="0" w:space="0" w:color="auto"/>
            <w:right w:val="none" w:sz="0" w:space="0" w:color="auto"/>
          </w:divBdr>
        </w:div>
        <w:div w:id="1887909543">
          <w:marLeft w:val="0"/>
          <w:marRight w:val="0"/>
          <w:marTop w:val="0"/>
          <w:marBottom w:val="0"/>
          <w:divBdr>
            <w:top w:val="none" w:sz="0" w:space="0" w:color="auto"/>
            <w:left w:val="none" w:sz="0" w:space="0" w:color="auto"/>
            <w:bottom w:val="none" w:sz="0" w:space="0" w:color="auto"/>
            <w:right w:val="none" w:sz="0" w:space="0" w:color="auto"/>
          </w:divBdr>
        </w:div>
        <w:div w:id="1068922039">
          <w:marLeft w:val="0"/>
          <w:marRight w:val="0"/>
          <w:marTop w:val="0"/>
          <w:marBottom w:val="0"/>
          <w:divBdr>
            <w:top w:val="none" w:sz="0" w:space="0" w:color="auto"/>
            <w:left w:val="none" w:sz="0" w:space="0" w:color="auto"/>
            <w:bottom w:val="none" w:sz="0" w:space="0" w:color="auto"/>
            <w:right w:val="none" w:sz="0" w:space="0" w:color="auto"/>
          </w:divBdr>
        </w:div>
        <w:div w:id="1297027831">
          <w:marLeft w:val="0"/>
          <w:marRight w:val="0"/>
          <w:marTop w:val="0"/>
          <w:marBottom w:val="0"/>
          <w:divBdr>
            <w:top w:val="none" w:sz="0" w:space="0" w:color="auto"/>
            <w:left w:val="none" w:sz="0" w:space="0" w:color="auto"/>
            <w:bottom w:val="none" w:sz="0" w:space="0" w:color="auto"/>
            <w:right w:val="none" w:sz="0" w:space="0" w:color="auto"/>
          </w:divBdr>
        </w:div>
        <w:div w:id="602035464">
          <w:marLeft w:val="0"/>
          <w:marRight w:val="0"/>
          <w:marTop w:val="0"/>
          <w:marBottom w:val="0"/>
          <w:divBdr>
            <w:top w:val="none" w:sz="0" w:space="0" w:color="auto"/>
            <w:left w:val="none" w:sz="0" w:space="0" w:color="auto"/>
            <w:bottom w:val="none" w:sz="0" w:space="0" w:color="auto"/>
            <w:right w:val="none" w:sz="0" w:space="0" w:color="auto"/>
          </w:divBdr>
        </w:div>
        <w:div w:id="933709544">
          <w:marLeft w:val="0"/>
          <w:marRight w:val="0"/>
          <w:marTop w:val="0"/>
          <w:marBottom w:val="0"/>
          <w:divBdr>
            <w:top w:val="none" w:sz="0" w:space="0" w:color="auto"/>
            <w:left w:val="none" w:sz="0" w:space="0" w:color="auto"/>
            <w:bottom w:val="none" w:sz="0" w:space="0" w:color="auto"/>
            <w:right w:val="none" w:sz="0" w:space="0" w:color="auto"/>
          </w:divBdr>
        </w:div>
        <w:div w:id="1473865375">
          <w:marLeft w:val="0"/>
          <w:marRight w:val="0"/>
          <w:marTop w:val="0"/>
          <w:marBottom w:val="0"/>
          <w:divBdr>
            <w:top w:val="none" w:sz="0" w:space="0" w:color="auto"/>
            <w:left w:val="none" w:sz="0" w:space="0" w:color="auto"/>
            <w:bottom w:val="none" w:sz="0" w:space="0" w:color="auto"/>
            <w:right w:val="none" w:sz="0" w:space="0" w:color="auto"/>
          </w:divBdr>
        </w:div>
        <w:div w:id="358749047">
          <w:marLeft w:val="0"/>
          <w:marRight w:val="0"/>
          <w:marTop w:val="0"/>
          <w:marBottom w:val="0"/>
          <w:divBdr>
            <w:top w:val="none" w:sz="0" w:space="0" w:color="auto"/>
            <w:left w:val="none" w:sz="0" w:space="0" w:color="auto"/>
            <w:bottom w:val="none" w:sz="0" w:space="0" w:color="auto"/>
            <w:right w:val="none" w:sz="0" w:space="0" w:color="auto"/>
          </w:divBdr>
        </w:div>
        <w:div w:id="1101418900">
          <w:marLeft w:val="0"/>
          <w:marRight w:val="0"/>
          <w:marTop w:val="0"/>
          <w:marBottom w:val="0"/>
          <w:divBdr>
            <w:top w:val="none" w:sz="0" w:space="0" w:color="auto"/>
            <w:left w:val="none" w:sz="0" w:space="0" w:color="auto"/>
            <w:bottom w:val="none" w:sz="0" w:space="0" w:color="auto"/>
            <w:right w:val="none" w:sz="0" w:space="0" w:color="auto"/>
          </w:divBdr>
        </w:div>
        <w:div w:id="1208832033">
          <w:marLeft w:val="0"/>
          <w:marRight w:val="0"/>
          <w:marTop w:val="0"/>
          <w:marBottom w:val="0"/>
          <w:divBdr>
            <w:top w:val="none" w:sz="0" w:space="0" w:color="auto"/>
            <w:left w:val="none" w:sz="0" w:space="0" w:color="auto"/>
            <w:bottom w:val="none" w:sz="0" w:space="0" w:color="auto"/>
            <w:right w:val="none" w:sz="0" w:space="0" w:color="auto"/>
          </w:divBdr>
        </w:div>
        <w:div w:id="555360160">
          <w:marLeft w:val="0"/>
          <w:marRight w:val="0"/>
          <w:marTop w:val="0"/>
          <w:marBottom w:val="0"/>
          <w:divBdr>
            <w:top w:val="none" w:sz="0" w:space="0" w:color="auto"/>
            <w:left w:val="none" w:sz="0" w:space="0" w:color="auto"/>
            <w:bottom w:val="none" w:sz="0" w:space="0" w:color="auto"/>
            <w:right w:val="none" w:sz="0" w:space="0" w:color="auto"/>
          </w:divBdr>
        </w:div>
        <w:div w:id="1104304753">
          <w:marLeft w:val="0"/>
          <w:marRight w:val="0"/>
          <w:marTop w:val="0"/>
          <w:marBottom w:val="0"/>
          <w:divBdr>
            <w:top w:val="none" w:sz="0" w:space="0" w:color="auto"/>
            <w:left w:val="none" w:sz="0" w:space="0" w:color="auto"/>
            <w:bottom w:val="none" w:sz="0" w:space="0" w:color="auto"/>
            <w:right w:val="none" w:sz="0" w:space="0" w:color="auto"/>
          </w:divBdr>
        </w:div>
        <w:div w:id="824854901">
          <w:marLeft w:val="0"/>
          <w:marRight w:val="0"/>
          <w:marTop w:val="0"/>
          <w:marBottom w:val="0"/>
          <w:divBdr>
            <w:top w:val="none" w:sz="0" w:space="0" w:color="auto"/>
            <w:left w:val="none" w:sz="0" w:space="0" w:color="auto"/>
            <w:bottom w:val="none" w:sz="0" w:space="0" w:color="auto"/>
            <w:right w:val="none" w:sz="0" w:space="0" w:color="auto"/>
          </w:divBdr>
        </w:div>
        <w:div w:id="859467642">
          <w:marLeft w:val="0"/>
          <w:marRight w:val="0"/>
          <w:marTop w:val="0"/>
          <w:marBottom w:val="0"/>
          <w:divBdr>
            <w:top w:val="none" w:sz="0" w:space="0" w:color="auto"/>
            <w:left w:val="none" w:sz="0" w:space="0" w:color="auto"/>
            <w:bottom w:val="none" w:sz="0" w:space="0" w:color="auto"/>
            <w:right w:val="none" w:sz="0" w:space="0" w:color="auto"/>
          </w:divBdr>
        </w:div>
        <w:div w:id="1261529230">
          <w:marLeft w:val="0"/>
          <w:marRight w:val="0"/>
          <w:marTop w:val="0"/>
          <w:marBottom w:val="0"/>
          <w:divBdr>
            <w:top w:val="none" w:sz="0" w:space="0" w:color="auto"/>
            <w:left w:val="none" w:sz="0" w:space="0" w:color="auto"/>
            <w:bottom w:val="none" w:sz="0" w:space="0" w:color="auto"/>
            <w:right w:val="none" w:sz="0" w:space="0" w:color="auto"/>
          </w:divBdr>
        </w:div>
        <w:div w:id="697052589">
          <w:marLeft w:val="0"/>
          <w:marRight w:val="0"/>
          <w:marTop w:val="0"/>
          <w:marBottom w:val="0"/>
          <w:divBdr>
            <w:top w:val="none" w:sz="0" w:space="0" w:color="auto"/>
            <w:left w:val="none" w:sz="0" w:space="0" w:color="auto"/>
            <w:bottom w:val="none" w:sz="0" w:space="0" w:color="auto"/>
            <w:right w:val="none" w:sz="0" w:space="0" w:color="auto"/>
          </w:divBdr>
        </w:div>
        <w:div w:id="1629890861">
          <w:marLeft w:val="0"/>
          <w:marRight w:val="0"/>
          <w:marTop w:val="0"/>
          <w:marBottom w:val="0"/>
          <w:divBdr>
            <w:top w:val="none" w:sz="0" w:space="0" w:color="auto"/>
            <w:left w:val="none" w:sz="0" w:space="0" w:color="auto"/>
            <w:bottom w:val="none" w:sz="0" w:space="0" w:color="auto"/>
            <w:right w:val="none" w:sz="0" w:space="0" w:color="auto"/>
          </w:divBdr>
        </w:div>
        <w:div w:id="799112798">
          <w:marLeft w:val="0"/>
          <w:marRight w:val="0"/>
          <w:marTop w:val="0"/>
          <w:marBottom w:val="0"/>
          <w:divBdr>
            <w:top w:val="none" w:sz="0" w:space="0" w:color="auto"/>
            <w:left w:val="none" w:sz="0" w:space="0" w:color="auto"/>
            <w:bottom w:val="none" w:sz="0" w:space="0" w:color="auto"/>
            <w:right w:val="none" w:sz="0" w:space="0" w:color="auto"/>
          </w:divBdr>
        </w:div>
        <w:div w:id="2047632754">
          <w:marLeft w:val="0"/>
          <w:marRight w:val="0"/>
          <w:marTop w:val="0"/>
          <w:marBottom w:val="0"/>
          <w:divBdr>
            <w:top w:val="none" w:sz="0" w:space="0" w:color="auto"/>
            <w:left w:val="none" w:sz="0" w:space="0" w:color="auto"/>
            <w:bottom w:val="none" w:sz="0" w:space="0" w:color="auto"/>
            <w:right w:val="none" w:sz="0" w:space="0" w:color="auto"/>
          </w:divBdr>
        </w:div>
      </w:divsChild>
    </w:div>
    <w:div w:id="1552571965">
      <w:bodyDiv w:val="1"/>
      <w:marLeft w:val="0"/>
      <w:marRight w:val="0"/>
      <w:marTop w:val="0"/>
      <w:marBottom w:val="0"/>
      <w:divBdr>
        <w:top w:val="none" w:sz="0" w:space="0" w:color="auto"/>
        <w:left w:val="none" w:sz="0" w:space="0" w:color="auto"/>
        <w:bottom w:val="none" w:sz="0" w:space="0" w:color="auto"/>
        <w:right w:val="none" w:sz="0" w:space="0" w:color="auto"/>
      </w:divBdr>
    </w:div>
    <w:div w:id="21133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a.usda.gov/dairy" TargetMode="External"/><Relationship Id="rId12" Type="http://schemas.openxmlformats.org/officeDocument/2006/relationships/hyperlink" Target="http://www.usda.gov/wps/portal/usda/usdahome?navid=RESULTS" TargetMode="External"/><Relationship Id="rId13" Type="http://schemas.openxmlformats.org/officeDocument/2006/relationships/hyperlink" Target="http://www.fsa.usda.gov/dairy" TargetMode="External"/><Relationship Id="rId14" Type="http://schemas.openxmlformats.org/officeDocument/2006/relationships/hyperlink" Target="http://www.fsa.usda.gov/mpptool" TargetMode="External"/><Relationship Id="rId15" Type="http://schemas.openxmlformats.org/officeDocument/2006/relationships/hyperlink" Target="http://offices.usda.gov"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FA97-704F-FF48-A30E-1F9AA40D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 Robing - FAS</dc:creator>
  <cp:lastModifiedBy>KymNoelle Sposato</cp:lastModifiedBy>
  <cp:revision>2</cp:revision>
  <cp:lastPrinted>2016-07-29T11:56:00Z</cp:lastPrinted>
  <dcterms:created xsi:type="dcterms:W3CDTF">2016-08-04T18:50:00Z</dcterms:created>
  <dcterms:modified xsi:type="dcterms:W3CDTF">2016-08-04T18:50:00Z</dcterms:modified>
</cp:coreProperties>
</file>